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3015"/>
        <w:gridCol w:w="3757"/>
        <w:gridCol w:w="2868"/>
      </w:tblGrid>
      <w:tr w:rsidR="00D135D8">
        <w:trPr>
          <w:trHeight w:val="1438"/>
          <w:jc w:val="center"/>
        </w:trPr>
        <w:tc>
          <w:tcPr>
            <w:tcW w:w="3015" w:type="dxa"/>
          </w:tcPr>
          <w:p w:rsidR="00D135D8" w:rsidRDefault="00D135D8">
            <w:pPr>
              <w:widowControl w:val="0"/>
              <w:ind w:right="-358" w:firstLine="708"/>
              <w:rPr>
                <w:sz w:val="27"/>
                <w:szCs w:val="27"/>
              </w:rPr>
            </w:pPr>
          </w:p>
        </w:tc>
        <w:tc>
          <w:tcPr>
            <w:tcW w:w="3757" w:type="dxa"/>
            <w:vAlign w:val="center"/>
          </w:tcPr>
          <w:p w:rsidR="00D135D8" w:rsidRDefault="001200DA">
            <w:pPr>
              <w:widowControl w:val="0"/>
              <w:tabs>
                <w:tab w:val="left" w:pos="1900"/>
              </w:tabs>
              <w:ind w:left="772" w:right="-35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510540" cy="885190"/>
                  <wp:effectExtent l="0" t="0" r="0" b="0"/>
                  <wp:docPr id="1" name="Рисунок 2" descr="C:\Documents and Settings\User\Local Settings\Temporary Internet Files\Content.Word\герб гор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Documents and Settings\User\Local Settings\Temporary Internet Files\Content.Word\герб гор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</w:tcPr>
          <w:p w:rsidR="00D135D8" w:rsidRDefault="00D135D8">
            <w:pPr>
              <w:widowControl w:val="0"/>
            </w:pPr>
          </w:p>
        </w:tc>
      </w:tr>
      <w:tr w:rsidR="00D135D8" w:rsidRPr="000A6D9E">
        <w:trPr>
          <w:trHeight w:val="1369"/>
          <w:jc w:val="center"/>
        </w:trPr>
        <w:tc>
          <w:tcPr>
            <w:tcW w:w="9640" w:type="dxa"/>
            <w:gridSpan w:val="3"/>
            <w:tcBorders>
              <w:bottom w:val="thinThickSmallGap" w:sz="24" w:space="0" w:color="000000"/>
            </w:tcBorders>
          </w:tcPr>
          <w:p w:rsidR="00D135D8" w:rsidRPr="000A6D9E" w:rsidRDefault="001200DA">
            <w:pPr>
              <w:widowControl w:val="0"/>
              <w:ind w:right="-358"/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 w:rsidRPr="000A6D9E"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>АДМИНИСТРАЦИЯ ГОРОДСКОГО ОКРУГА ЗАКРЫТОГО</w:t>
            </w:r>
          </w:p>
          <w:p w:rsidR="00D135D8" w:rsidRPr="000A6D9E" w:rsidRDefault="001200DA">
            <w:pPr>
              <w:widowControl w:val="0"/>
              <w:ind w:right="-358"/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 w:rsidRPr="000A6D9E"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>АДМИНИСТРАТИВНО-ТЕРРИТОРИАЛЬНОГО ОБРАЗОВАНИЯ</w:t>
            </w:r>
          </w:p>
          <w:p w:rsidR="00D135D8" w:rsidRPr="000A6D9E" w:rsidRDefault="001200DA">
            <w:pPr>
              <w:widowControl w:val="0"/>
              <w:ind w:right="-358"/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proofErr w:type="gramStart"/>
            <w:r w:rsidRPr="000A6D9E"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>СВОБОДНЫЙ</w:t>
            </w:r>
            <w:proofErr w:type="gramEnd"/>
            <w:r w:rsidRPr="000A6D9E"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 xml:space="preserve"> СВЕРДЛОВСКОЙ ОБЛАСТИ</w:t>
            </w:r>
          </w:p>
          <w:p w:rsidR="00D135D8" w:rsidRPr="000A6D9E" w:rsidRDefault="001200DA">
            <w:pPr>
              <w:widowControl w:val="0"/>
              <w:ind w:right="-358"/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proofErr w:type="gramStart"/>
            <w:r w:rsidRPr="000A6D9E"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>П</w:t>
            </w:r>
            <w:proofErr w:type="gramEnd"/>
            <w:r w:rsidRPr="000A6D9E"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 xml:space="preserve"> О С Т А Н О В Л Е Н И Е</w:t>
            </w:r>
          </w:p>
        </w:tc>
      </w:tr>
    </w:tbl>
    <w:p w:rsidR="00D135D8" w:rsidRPr="000A6D9E" w:rsidRDefault="001200DA">
      <w:pPr>
        <w:rPr>
          <w:rFonts w:ascii="Liberation Serif" w:hAnsi="Liberation Serif" w:cs="Liberation Serif"/>
          <w:sz w:val="28"/>
          <w:szCs w:val="28"/>
        </w:rPr>
      </w:pPr>
      <w:r w:rsidRPr="000A6D9E">
        <w:rPr>
          <w:rFonts w:ascii="Liberation Serif" w:hAnsi="Liberation Serif" w:cs="Liberation Serif"/>
          <w:sz w:val="28"/>
          <w:szCs w:val="28"/>
        </w:rPr>
        <w:t>от «___» марта 2022 года № ___</w:t>
      </w:r>
    </w:p>
    <w:p w:rsidR="00D135D8" w:rsidRPr="000A6D9E" w:rsidRDefault="001200DA">
      <w:pPr>
        <w:rPr>
          <w:rFonts w:ascii="Liberation Serif" w:hAnsi="Liberation Serif" w:cs="Liberation Serif"/>
          <w:sz w:val="28"/>
          <w:szCs w:val="28"/>
        </w:rPr>
      </w:pPr>
      <w:proofErr w:type="spellStart"/>
      <w:r w:rsidRPr="000A6D9E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0A6D9E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D135D8" w:rsidRPr="000A6D9E" w:rsidRDefault="00D135D8">
      <w:pPr>
        <w:rPr>
          <w:rFonts w:ascii="Liberation Serif" w:hAnsi="Liberation Serif" w:cs="Liberation Serif"/>
          <w:sz w:val="28"/>
          <w:szCs w:val="28"/>
        </w:rPr>
      </w:pPr>
    </w:p>
    <w:p w:rsidR="00D135D8" w:rsidRDefault="00D135D8">
      <w:pPr>
        <w:rPr>
          <w:sz w:val="28"/>
          <w:szCs w:val="28"/>
        </w:rPr>
      </w:pPr>
    </w:p>
    <w:p w:rsidR="00D135D8" w:rsidRDefault="001200DA">
      <w:pPr>
        <w:tabs>
          <w:tab w:val="left" w:pos="7890"/>
        </w:tabs>
        <w:ind w:right="-1"/>
        <w:jc w:val="center"/>
        <w:rPr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Об утверждении порядка осуществления финансовым отделом </w:t>
      </w:r>
    </w:p>
    <w:p w:rsidR="00D135D8" w:rsidRDefault="001200DA">
      <w:pPr>
        <w:tabs>
          <w:tab w:val="left" w:pos="7890"/>
        </w:tabs>
        <w:ind w:right="-1"/>
        <w:jc w:val="center"/>
        <w:rPr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администрации городского </w:t>
      </w:r>
      <w:proofErr w:type="gramStart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 ЗАТО Свободный  казначейского сопровождения средств, предоставляемых участникам казначейского сопровождения, определенных в соответствии со статьей 242.26 </w:t>
      </w:r>
    </w:p>
    <w:p w:rsidR="00D135D8" w:rsidRDefault="001200DA">
      <w:pPr>
        <w:tabs>
          <w:tab w:val="left" w:pos="7890"/>
        </w:tabs>
        <w:ind w:right="-1"/>
        <w:jc w:val="center"/>
        <w:rPr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Бюджетного </w:t>
      </w: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кодекса Российской Федерации, из бюджета</w:t>
      </w:r>
    </w:p>
    <w:p w:rsidR="00D135D8" w:rsidRDefault="001200DA">
      <w:pPr>
        <w:tabs>
          <w:tab w:val="left" w:pos="7890"/>
        </w:tabs>
        <w:ind w:right="-1"/>
        <w:jc w:val="center"/>
        <w:rPr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 ЗАТО Свободный</w:t>
      </w:r>
    </w:p>
    <w:p w:rsidR="00D135D8" w:rsidRDefault="00D135D8">
      <w:pPr>
        <w:jc w:val="center"/>
        <w:rPr>
          <w:sz w:val="28"/>
          <w:szCs w:val="28"/>
        </w:rPr>
      </w:pPr>
    </w:p>
    <w:p w:rsidR="00D135D8" w:rsidRDefault="001200DA">
      <w:pPr>
        <w:ind w:firstLine="709"/>
        <w:jc w:val="both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В соответствии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со </w:t>
      </w:r>
      <w:hyperlink r:id="rId10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с</w:t>
        </w:r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татьей 242.23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Бюджетного кодекса Российской Федерации, </w:t>
      </w:r>
      <w:hyperlink r:id="rId11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Постановлением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П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равительства Россий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ской Федерации от 01.12.2021 №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</w:t>
      </w:r>
      <w:r>
        <w:rPr>
          <w:rFonts w:ascii="Liberation Serif" w:hAnsi="Liberation Serif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руководствуясь  Уставом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</w:t>
      </w:r>
      <w:r>
        <w:rPr>
          <w:rFonts w:ascii="Liberation Serif" w:hAnsi="Liberation Serif"/>
          <w:sz w:val="28"/>
          <w:szCs w:val="28"/>
        </w:rPr>
        <w:t>О Свободный,</w:t>
      </w:r>
    </w:p>
    <w:p w:rsidR="00D135D8" w:rsidRDefault="001200DA">
      <w:pPr>
        <w:jc w:val="both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135D8" w:rsidRDefault="001200DA">
      <w:pPr>
        <w:pStyle w:val="af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1. Утвердить </w:t>
      </w:r>
      <w:hyperlink r:id="rId12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Порядок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осуществления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zh-CN"/>
        </w:rPr>
        <w:t xml:space="preserve">финансовым отделом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zh-CN"/>
        </w:rPr>
        <w:t xml:space="preserve">администрации городского </w:t>
      </w:r>
      <w:proofErr w:type="gramStart"/>
      <w:r>
        <w:rPr>
          <w:rFonts w:ascii="Liberation Serif;Times New Roma" w:hAnsi="Liberation Serif;Times New Roma" w:cs="Liberation Serif;Times New Roma"/>
          <w:sz w:val="28"/>
          <w:szCs w:val="28"/>
          <w:lang w:eastAsia="zh-CN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sz w:val="28"/>
          <w:szCs w:val="28"/>
          <w:lang w:eastAsia="zh-CN"/>
        </w:rPr>
        <w:t xml:space="preserve"> ЗАТО Свободный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казначейского сопровождения средств, предоставляемых участникам казначейского сопровождения, определенных в соответствии со статьей 242.26 Бюджетного кодекса Российской Федерации, из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zh-CN"/>
        </w:rPr>
        <w:t xml:space="preserve">бюджета городского округа </w:t>
      </w:r>
      <w:r>
        <w:rPr>
          <w:rFonts w:ascii="Liberation Serif;Times New Roma" w:hAnsi="Liberation Serif;Times New Roma" w:cs="Liberation Serif;Times New Roma"/>
          <w:sz w:val="28"/>
          <w:szCs w:val="28"/>
          <w:lang w:eastAsia="zh-CN"/>
        </w:rPr>
        <w:t>ЗАТО Свободный</w:t>
      </w:r>
      <w:r>
        <w:rPr>
          <w:sz w:val="28"/>
          <w:szCs w:val="28"/>
        </w:rPr>
        <w:t xml:space="preserve"> (прилагается).</w:t>
      </w:r>
    </w:p>
    <w:p w:rsidR="00D135D8" w:rsidRDefault="001200DA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Настоящее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постановление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 вступает в силу после его официального опубликования и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 xml:space="preserve">распространяется на 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правоотношения, возникшие с 1 января 2022 года.</w:t>
      </w:r>
    </w:p>
    <w:p w:rsidR="00D135D8" w:rsidRDefault="001200DA">
      <w:pPr>
        <w:pStyle w:val="af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«Свободные вести» и на официально</w:t>
      </w:r>
      <w:r>
        <w:rPr>
          <w:sz w:val="28"/>
          <w:szCs w:val="28"/>
        </w:rPr>
        <w:t xml:space="preserve">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D135D8" w:rsidRDefault="00D135D8">
      <w:pPr>
        <w:ind w:firstLine="709"/>
        <w:jc w:val="both"/>
        <w:rPr>
          <w:sz w:val="28"/>
          <w:szCs w:val="28"/>
        </w:rPr>
      </w:pPr>
    </w:p>
    <w:p w:rsidR="00D135D8" w:rsidRDefault="00D135D8">
      <w:pPr>
        <w:ind w:firstLine="709"/>
        <w:jc w:val="both"/>
        <w:rPr>
          <w:sz w:val="28"/>
          <w:szCs w:val="28"/>
        </w:rPr>
      </w:pPr>
    </w:p>
    <w:p w:rsidR="00D135D8" w:rsidRDefault="001200D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           А.В. Иванов</w:t>
      </w:r>
    </w:p>
    <w:p w:rsidR="00D135D8" w:rsidRDefault="00D135D8">
      <w:pPr>
        <w:rPr>
          <w:sz w:val="28"/>
          <w:szCs w:val="28"/>
        </w:rPr>
      </w:pPr>
    </w:p>
    <w:p w:rsidR="00D135D8" w:rsidRDefault="00D135D8">
      <w:pPr>
        <w:rPr>
          <w:sz w:val="28"/>
          <w:szCs w:val="28"/>
        </w:rPr>
      </w:pPr>
    </w:p>
    <w:p w:rsidR="00D135D8" w:rsidRDefault="00D135D8">
      <w:pPr>
        <w:rPr>
          <w:sz w:val="28"/>
          <w:szCs w:val="28"/>
        </w:rPr>
      </w:pPr>
    </w:p>
    <w:p w:rsidR="00D135D8" w:rsidRDefault="001200D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lastRenderedPageBreak/>
        <w:t>СОГЛАСОВАНИЕ</w:t>
      </w:r>
    </w:p>
    <w:p w:rsidR="00D135D8" w:rsidRDefault="001200D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проекта постановления </w:t>
      </w:r>
    </w:p>
    <w:p w:rsidR="00D135D8" w:rsidRDefault="001200D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администрации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ГО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D135D8" w:rsidRDefault="00D135D8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pPr w:leftFromText="180" w:rightFromText="180" w:bottomFromText="200" w:vertAnchor="text" w:tblpY="1"/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5"/>
        <w:gridCol w:w="2486"/>
        <w:gridCol w:w="1143"/>
        <w:gridCol w:w="1250"/>
        <w:gridCol w:w="2546"/>
      </w:tblGrid>
      <w:tr w:rsidR="00D135D8">
        <w:trPr>
          <w:trHeight w:val="679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1200DA">
            <w:pPr>
              <w:tabs>
                <w:tab w:val="left" w:pos="7890"/>
              </w:tabs>
              <w:ind w:right="-1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 xml:space="preserve">Об утверждении порядка осуществления финансовым отделом  администрации городского 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 xml:space="preserve"> ЗАТО Свободный  казначейского сопровождения средств, предоставляемых участникам казначейского сопровождения, определенных в соответствии со статьей 242.26  Бюджетного </w:t>
            </w: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 xml:space="preserve">кодекса Российской Федерации, из бюджета </w:t>
            </w: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  <w:lang w:eastAsia="en-US"/>
              </w:rPr>
              <w:t>городского округа ЗАТО Свободный</w:t>
            </w:r>
          </w:p>
        </w:tc>
      </w:tr>
      <w:tr w:rsidR="00D135D8">
        <w:trPr>
          <w:cantSplit/>
          <w:trHeight w:val="135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1200DA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Должность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1200DA">
            <w:pPr>
              <w:widowControl w:val="0"/>
              <w:spacing w:before="240" w:after="60" w:line="276" w:lineRule="auto"/>
              <w:jc w:val="center"/>
              <w:outlineLvl w:val="4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Фамилия и инициалы</w:t>
            </w:r>
          </w:p>
        </w:tc>
        <w:tc>
          <w:tcPr>
            <w:tcW w:w="4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1200DA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Сроки и результаты согласования</w:t>
            </w:r>
          </w:p>
        </w:tc>
      </w:tr>
      <w:tr w:rsidR="00D135D8">
        <w:trPr>
          <w:cantSplit/>
          <w:trHeight w:val="135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1200DA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Дата поступления на согласование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1200DA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Дата согласования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1200DA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Замечания и подпись</w:t>
            </w:r>
          </w:p>
        </w:tc>
      </w:tr>
      <w:tr w:rsidR="00D135D8">
        <w:trPr>
          <w:cantSplit/>
          <w:trHeight w:val="13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D8" w:rsidRDefault="001200D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D8" w:rsidRDefault="001200DA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Ж.М. </w:t>
            </w:r>
            <w:proofErr w:type="spellStart"/>
            <w:r>
              <w:rPr>
                <w:rFonts w:ascii="Liberation Serif" w:hAnsi="Liberation Serif"/>
              </w:rPr>
              <w:t>Барабанщикова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</w:tr>
      <w:tr w:rsidR="00D135D8">
        <w:trPr>
          <w:cantSplit/>
          <w:trHeight w:val="13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D8" w:rsidRDefault="001200D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D8" w:rsidRDefault="001200DA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Т.Г. Заводская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</w:tr>
      <w:tr w:rsidR="00D135D8">
        <w:trPr>
          <w:cantSplit/>
          <w:trHeight w:val="13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D8" w:rsidRDefault="001200D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финансового отдела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D8" w:rsidRDefault="001200DA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М.Н. Малых</w:t>
            </w:r>
          </w:p>
          <w:p w:rsidR="00D135D8" w:rsidRDefault="00D135D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</w:tr>
      <w:tr w:rsidR="00D135D8">
        <w:trPr>
          <w:cantSplit/>
          <w:trHeight w:val="135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D8" w:rsidRDefault="001200D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бухгалтерского учета и финансов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D8" w:rsidRDefault="001200DA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С.Ф. Рыжкова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</w:tr>
      <w:tr w:rsidR="00D135D8">
        <w:trPr>
          <w:cantSplit/>
          <w:trHeight w:val="135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D8" w:rsidRDefault="001200DA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организационно-кадрового отдела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5D8" w:rsidRDefault="001200DA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Л.В. Ткаченко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5D8" w:rsidRDefault="00D135D8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</w:tr>
    </w:tbl>
    <w:p w:rsidR="00435EF4" w:rsidRPr="00DD3888" w:rsidRDefault="001200DA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br/>
      </w:r>
      <w:r w:rsidRPr="00DD3888">
        <w:rPr>
          <w:rFonts w:ascii="Liberation Serif" w:hAnsi="Liberation Serif"/>
        </w:rPr>
        <w:t>Копии:</w:t>
      </w:r>
      <w:r w:rsidRPr="00DD3888">
        <w:rPr>
          <w:rFonts w:ascii="Liberation Serif" w:hAnsi="Liberation Serif"/>
        </w:rPr>
        <w:t xml:space="preserve"> </w:t>
      </w:r>
    </w:p>
    <w:p w:rsidR="00D135D8" w:rsidRPr="00435EF4" w:rsidRDefault="001200DA">
      <w:pPr>
        <w:rPr>
          <w:rFonts w:ascii="Liberation Serif" w:hAnsi="Liberation Serif" w:cs="Liberation Serif"/>
        </w:rPr>
      </w:pPr>
      <w:r w:rsidRPr="00435EF4">
        <w:rPr>
          <w:rFonts w:ascii="Liberation Serif" w:hAnsi="Liberation Serif" w:cs="Liberation Serif"/>
        </w:rPr>
        <w:t xml:space="preserve">Дума </w:t>
      </w:r>
      <w:proofErr w:type="gramStart"/>
      <w:r w:rsidRPr="00435EF4">
        <w:rPr>
          <w:rFonts w:ascii="Liberation Serif" w:hAnsi="Liberation Serif" w:cs="Liberation Serif"/>
        </w:rPr>
        <w:t>ГО</w:t>
      </w:r>
      <w:proofErr w:type="gramEnd"/>
      <w:r w:rsidRPr="00435EF4">
        <w:rPr>
          <w:rFonts w:ascii="Liberation Serif" w:hAnsi="Liberation Serif" w:cs="Liberation Serif"/>
        </w:rPr>
        <w:t xml:space="preserve"> ЗАТО Свободный</w:t>
      </w:r>
    </w:p>
    <w:p w:rsidR="00D135D8" w:rsidRPr="00435EF4" w:rsidRDefault="001200DA">
      <w:pPr>
        <w:rPr>
          <w:rFonts w:ascii="Liberation Serif" w:hAnsi="Liberation Serif" w:cs="Liberation Serif"/>
        </w:rPr>
      </w:pPr>
      <w:r w:rsidRPr="00435EF4">
        <w:rPr>
          <w:rFonts w:ascii="Liberation Serif" w:hAnsi="Liberation Serif" w:cs="Liberation Serif"/>
        </w:rPr>
        <w:t xml:space="preserve">контрольный орган </w:t>
      </w:r>
      <w:proofErr w:type="gramStart"/>
      <w:r w:rsidRPr="00435EF4">
        <w:rPr>
          <w:rFonts w:ascii="Liberation Serif" w:hAnsi="Liberation Serif" w:cs="Liberation Serif"/>
        </w:rPr>
        <w:t>ГО</w:t>
      </w:r>
      <w:proofErr w:type="gramEnd"/>
      <w:r w:rsidRPr="00435EF4">
        <w:rPr>
          <w:rFonts w:ascii="Liberation Serif" w:hAnsi="Liberation Serif" w:cs="Liberation Serif"/>
        </w:rPr>
        <w:t xml:space="preserve"> ЗАТО Свободный </w:t>
      </w:r>
    </w:p>
    <w:p w:rsidR="00D135D8" w:rsidRPr="00435EF4" w:rsidRDefault="001200DA">
      <w:pPr>
        <w:rPr>
          <w:rFonts w:ascii="Liberation Serif" w:hAnsi="Liberation Serif" w:cs="Liberation Serif"/>
        </w:rPr>
      </w:pPr>
      <w:r w:rsidRPr="00435EF4">
        <w:rPr>
          <w:rFonts w:ascii="Liberation Serif" w:hAnsi="Liberation Serif" w:cs="Liberation Serif"/>
        </w:rPr>
        <w:t>финансовый отдел</w:t>
      </w:r>
    </w:p>
    <w:p w:rsidR="00D135D8" w:rsidRPr="00435EF4" w:rsidRDefault="001200DA">
      <w:pPr>
        <w:rPr>
          <w:rFonts w:ascii="Liberation Serif" w:hAnsi="Liberation Serif" w:cs="Liberation Serif"/>
        </w:rPr>
      </w:pPr>
      <w:r w:rsidRPr="00435EF4">
        <w:rPr>
          <w:rFonts w:ascii="Liberation Serif" w:hAnsi="Liberation Serif" w:cs="Liberation Serif"/>
        </w:rPr>
        <w:t>отдел бухгалтерского учета и финансов</w:t>
      </w:r>
      <w:r w:rsidRPr="00435EF4">
        <w:rPr>
          <w:rFonts w:ascii="Liberation Serif" w:hAnsi="Liberation Serif" w:cs="Liberation Serif"/>
        </w:rPr>
        <w:t>____</w:t>
      </w:r>
    </w:p>
    <w:p w:rsidR="00D135D8" w:rsidRPr="00435EF4" w:rsidRDefault="00435EF4">
      <w:pPr>
        <w:tabs>
          <w:tab w:val="left" w:pos="5340"/>
        </w:tabs>
        <w:rPr>
          <w:rFonts w:ascii="Liberation Serif" w:hAnsi="Liberation Serif" w:cs="Liberation Serif"/>
        </w:rPr>
      </w:pPr>
      <w:r w:rsidRPr="00435EF4">
        <w:rPr>
          <w:rFonts w:ascii="Liberation Serif" w:hAnsi="Liberation Serif" w:cs="Liberation Serif"/>
        </w:rPr>
        <w:t xml:space="preserve">МКУ ДО </w:t>
      </w:r>
      <w:r w:rsidR="001200DA" w:rsidRPr="00435EF4">
        <w:rPr>
          <w:rFonts w:ascii="Liberation Serif" w:hAnsi="Liberation Serif" w:cs="Liberation Serif"/>
        </w:rPr>
        <w:t>СЮТ</w:t>
      </w:r>
    </w:p>
    <w:p w:rsidR="00D135D8" w:rsidRPr="00435EF4" w:rsidRDefault="00435EF4">
      <w:pPr>
        <w:tabs>
          <w:tab w:val="left" w:pos="5340"/>
        </w:tabs>
        <w:rPr>
          <w:rFonts w:ascii="Liberation Serif" w:hAnsi="Liberation Serif" w:cs="Liberation Serif"/>
        </w:rPr>
      </w:pPr>
      <w:r w:rsidRPr="00435EF4">
        <w:rPr>
          <w:rFonts w:ascii="Liberation Serif" w:hAnsi="Liberation Serif" w:cs="Liberation Serif"/>
        </w:rPr>
        <w:t>МКУ «Административно-хозяйственная служба»</w:t>
      </w:r>
    </w:p>
    <w:p w:rsidR="00D135D8" w:rsidRPr="00435EF4" w:rsidRDefault="00435EF4">
      <w:pPr>
        <w:rPr>
          <w:rFonts w:ascii="Liberation Serif" w:hAnsi="Liberation Serif" w:cs="Liberation Serif"/>
        </w:rPr>
      </w:pPr>
      <w:r w:rsidRPr="00435EF4">
        <w:rPr>
          <w:rFonts w:ascii="Liberation Serif" w:hAnsi="Liberation Serif" w:cs="Liberation Serif"/>
        </w:rPr>
        <w:t>МКУ «С</w:t>
      </w:r>
      <w:r w:rsidR="001200DA" w:rsidRPr="00435EF4">
        <w:rPr>
          <w:rFonts w:ascii="Liberation Serif" w:hAnsi="Liberation Serif" w:cs="Liberation Serif"/>
        </w:rPr>
        <w:t>МЗ</w:t>
      </w:r>
      <w:r w:rsidRPr="00435EF4">
        <w:rPr>
          <w:rFonts w:ascii="Liberation Serif" w:hAnsi="Liberation Serif" w:cs="Liberation Serif"/>
        </w:rPr>
        <w:t>»</w:t>
      </w:r>
    </w:p>
    <w:p w:rsidR="00983E9A" w:rsidRPr="00435EF4" w:rsidRDefault="00435EF4">
      <w:pPr>
        <w:rPr>
          <w:rFonts w:ascii="Liberation Serif" w:hAnsi="Liberation Serif" w:cs="Liberation Serif"/>
        </w:rPr>
      </w:pPr>
      <w:r w:rsidRPr="00435EF4">
        <w:rPr>
          <w:rFonts w:ascii="Liberation Serif" w:hAnsi="Liberation Serif" w:cs="Liberation Serif"/>
        </w:rPr>
        <w:t>МБДОУ «Детский сад «Солнышко»</w:t>
      </w:r>
    </w:p>
    <w:p w:rsidR="00435EF4" w:rsidRPr="00435EF4" w:rsidRDefault="00435EF4">
      <w:pPr>
        <w:rPr>
          <w:rFonts w:ascii="Liberation Serif" w:hAnsi="Liberation Serif" w:cs="Liberation Serif"/>
        </w:rPr>
      </w:pPr>
      <w:r w:rsidRPr="00435EF4">
        <w:rPr>
          <w:rFonts w:ascii="Liberation Serif" w:hAnsi="Liberation Serif" w:cs="Liberation Serif"/>
        </w:rPr>
        <w:t>МБДОУ № 17</w:t>
      </w:r>
    </w:p>
    <w:p w:rsidR="00435EF4" w:rsidRPr="00435EF4" w:rsidRDefault="00435EF4">
      <w:pPr>
        <w:rPr>
          <w:rFonts w:ascii="Liberation Serif" w:hAnsi="Liberation Serif" w:cs="Liberation Serif"/>
        </w:rPr>
      </w:pPr>
      <w:r w:rsidRPr="00435EF4">
        <w:rPr>
          <w:rFonts w:ascii="Liberation Serif" w:hAnsi="Liberation Serif" w:cs="Liberation Serif"/>
        </w:rPr>
        <w:t>МБОУ «СШ № 25»</w:t>
      </w:r>
    </w:p>
    <w:p w:rsidR="00D135D8" w:rsidRPr="00435EF4" w:rsidRDefault="00435EF4">
      <w:pPr>
        <w:rPr>
          <w:rFonts w:ascii="Liberation Serif" w:hAnsi="Liberation Serif" w:cs="Liberation Serif"/>
        </w:rPr>
      </w:pPr>
      <w:r w:rsidRPr="00435EF4">
        <w:rPr>
          <w:rFonts w:ascii="Liberation Serif" w:hAnsi="Liberation Serif" w:cs="Liberation Serif"/>
        </w:rPr>
        <w:t>МБУ ДО «ДМШ»</w:t>
      </w:r>
    </w:p>
    <w:p w:rsidR="00D135D8" w:rsidRPr="00435EF4" w:rsidRDefault="00435EF4">
      <w:pPr>
        <w:rPr>
          <w:rFonts w:ascii="Liberation Serif" w:hAnsi="Liberation Serif" w:cs="Liberation Serif"/>
        </w:rPr>
      </w:pPr>
      <w:r w:rsidRPr="00435EF4">
        <w:rPr>
          <w:rFonts w:ascii="Liberation Serif" w:hAnsi="Liberation Serif" w:cs="Liberation Serif"/>
        </w:rPr>
        <w:t>МБУ ДО ДЮСШ</w:t>
      </w:r>
    </w:p>
    <w:p w:rsidR="00435EF4" w:rsidRPr="00435EF4" w:rsidRDefault="00435EF4">
      <w:pPr>
        <w:rPr>
          <w:rFonts w:ascii="Liberation Serif" w:hAnsi="Liberation Serif" w:cs="Liberation Serif"/>
        </w:rPr>
      </w:pPr>
      <w:r w:rsidRPr="00435EF4">
        <w:rPr>
          <w:rFonts w:ascii="Liberation Serif" w:hAnsi="Liberation Serif" w:cs="Liberation Serif"/>
        </w:rPr>
        <w:t>МБУ ДО «Калейдоскоп»</w:t>
      </w:r>
    </w:p>
    <w:p w:rsidR="00435EF4" w:rsidRPr="00435EF4" w:rsidRDefault="00435EF4">
      <w:pPr>
        <w:rPr>
          <w:rFonts w:ascii="Liberation Serif" w:hAnsi="Liberation Serif" w:cs="Liberation Serif"/>
        </w:rPr>
      </w:pPr>
      <w:r w:rsidRPr="00435EF4">
        <w:rPr>
          <w:rFonts w:ascii="Liberation Serif" w:hAnsi="Liberation Serif" w:cs="Liberation Serif"/>
        </w:rPr>
        <w:t>МБУК ДК «Свободный»</w:t>
      </w:r>
    </w:p>
    <w:p w:rsidR="00D135D8" w:rsidRDefault="00D135D8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0D4DF9" w:rsidRDefault="000D4DF9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D135D8" w:rsidRDefault="001200DA">
      <w:pPr>
        <w:tabs>
          <w:tab w:val="left" w:pos="1620"/>
        </w:tabs>
        <w:jc w:val="both"/>
      </w:pPr>
      <w:r>
        <w:t>Пронина Юлия Владимировна</w:t>
      </w:r>
    </w:p>
    <w:p w:rsidR="00D135D8" w:rsidRDefault="001200DA">
      <w:pPr>
        <w:tabs>
          <w:tab w:val="left" w:pos="1620"/>
        </w:tabs>
        <w:jc w:val="both"/>
      </w:pPr>
      <w:r>
        <w:t>5-8</w:t>
      </w:r>
      <w:r w:rsidR="000A6D9E">
        <w:t>3</w:t>
      </w:r>
      <w:r>
        <w:t>-</w:t>
      </w:r>
      <w:r w:rsidR="000A6D9E">
        <w:t>56</w:t>
      </w:r>
    </w:p>
    <w:p w:rsidR="00D135D8" w:rsidRDefault="001200DA">
      <w:pPr>
        <w:ind w:left="5216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lastRenderedPageBreak/>
        <w:t>Утвержден</w:t>
      </w:r>
    </w:p>
    <w:p w:rsidR="00D135D8" w:rsidRDefault="001200DA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D135D8" w:rsidRDefault="001200DA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D135D8" w:rsidRDefault="001200DA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« ___» </w:t>
      </w:r>
      <w:r>
        <w:rPr>
          <w:rFonts w:ascii="Liberation Serif" w:hAnsi="Liberation Serif"/>
        </w:rPr>
        <w:t>марта</w:t>
      </w:r>
      <w:r>
        <w:rPr>
          <w:rFonts w:ascii="Liberation Serif" w:hAnsi="Liberation Serif"/>
        </w:rPr>
        <w:t xml:space="preserve">  2022 года № ___</w:t>
      </w:r>
    </w:p>
    <w:p w:rsidR="00D135D8" w:rsidRDefault="00D135D8">
      <w:pPr>
        <w:tabs>
          <w:tab w:val="left" w:pos="1620"/>
        </w:tabs>
        <w:ind w:left="5216"/>
        <w:jc w:val="both"/>
        <w:rPr>
          <w:rFonts w:ascii="Liberation Serif" w:hAnsi="Liberation Serif"/>
        </w:rPr>
      </w:pPr>
    </w:p>
    <w:p w:rsidR="00D135D8" w:rsidRDefault="00D135D8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D135D8" w:rsidRDefault="001200DA">
      <w:pPr>
        <w:pStyle w:val="ConsPlusTitle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ПОРЯДОК</w:t>
      </w:r>
    </w:p>
    <w:p w:rsidR="00D135D8" w:rsidRDefault="001200DA">
      <w:pPr>
        <w:pStyle w:val="ConsPlusTitle"/>
        <w:tabs>
          <w:tab w:val="left" w:pos="1620"/>
        </w:tabs>
        <w:jc w:val="center"/>
        <w:rPr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Cs/>
          <w:sz w:val="28"/>
          <w:szCs w:val="28"/>
        </w:rPr>
        <w:t xml:space="preserve">осуществления финансовым отделом администрации городского округа </w:t>
      </w:r>
    </w:p>
    <w:p w:rsidR="00D135D8" w:rsidRDefault="001200DA">
      <w:pPr>
        <w:pStyle w:val="ConsPlusTitle"/>
        <w:tabs>
          <w:tab w:val="left" w:pos="1620"/>
        </w:tabs>
        <w:jc w:val="center"/>
        <w:rPr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Cs/>
          <w:sz w:val="28"/>
          <w:szCs w:val="28"/>
        </w:rPr>
        <w:t xml:space="preserve">ЗАТО Свободный казначейского сопровождения средств, предоставляемых участникам казначейского сопровождения, определенных в соответствии со статьей 242.26 </w:t>
      </w:r>
      <w:r>
        <w:rPr>
          <w:rFonts w:ascii="Liberation Serif;Times New Roma" w:hAnsi="Liberation Serif;Times New Roma" w:cs="Liberation Serif;Times New Roma"/>
          <w:bCs/>
          <w:sz w:val="28"/>
          <w:szCs w:val="28"/>
        </w:rPr>
        <w:t xml:space="preserve">Бюджетного Кодекса Российской Федерации, из бюджета городского </w:t>
      </w:r>
      <w:proofErr w:type="gramStart"/>
      <w:r>
        <w:rPr>
          <w:rFonts w:ascii="Liberation Serif;Times New Roma" w:hAnsi="Liberation Serif;Times New Roma" w:cs="Liberation Serif;Times New Roma"/>
          <w:bCs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bCs/>
          <w:sz w:val="28"/>
          <w:szCs w:val="28"/>
        </w:rPr>
        <w:t xml:space="preserve"> ЗАТО Свободный</w:t>
      </w:r>
    </w:p>
    <w:p w:rsidR="00D135D8" w:rsidRDefault="00D135D8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D135D8" w:rsidRDefault="00D135D8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D135D8" w:rsidRDefault="001200DA">
      <w:pPr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1.Настоящий порядок устанавливает правила осуществления финансовым отделом администрации городского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ЗАТО Свободный (далее —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финансовый отдел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) казначейского сопров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ождения средств, предоставляемых участникам казначейского сопровождения, определенных в соответствии со </w:t>
      </w:r>
      <w:hyperlink r:id="rId13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статьей 242.26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Бюджетного кодекса Российской Федерации, из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бюджета городского округа ЗАТО Свободный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(далее - целевые средства).</w:t>
      </w:r>
    </w:p>
    <w:p w:rsidR="00D135D8" w:rsidRDefault="001200DA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Положения настоящего порядка, установленные для участников казначейского сопровождения, распространяются на обособленн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ые (структурные) подразделения участников казначейского сопровождения при предоставлении им целевых средств.</w:t>
      </w:r>
    </w:p>
    <w:p w:rsidR="00D135D8" w:rsidRDefault="001200DA">
      <w:pPr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2. Операции с целевыми средствами осуществляются на казначейских счетах, предусмотренных </w:t>
      </w:r>
      <w:hyperlink r:id="rId14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подпунктом 6.1 пункта 1 статьи 242.14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Бюджетного кодекса Российской Федерации (далее - Бюджетный кодекс), открытых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финансовому отделу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для осуществления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и отражения операций с денежными средствами участников казначейского сопровождения.</w:t>
      </w:r>
    </w:p>
    <w:p w:rsidR="00D135D8" w:rsidRDefault="001200DA">
      <w:pPr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3.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Операции по зачислению и списанию целевых средств на казначейских счетах, указанных в </w:t>
      </w:r>
      <w:hyperlink w:anchor="Par2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пункте 2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настоящего порядка, отражаются в соответствии с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порядком открытия и ведения лицевых счетов участников казначейского сопровождения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финансового отдела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, устанавливаемым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финансовым отделом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(далее - порядок открытия и ведения лицевых счетов участников), на лицевом счете, предназначенном для осуществления и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отражения операций с денежными средствами участников казначейского сопровождения (далее - лицевой счет).</w:t>
      </w:r>
      <w:proofErr w:type="gramEnd"/>
    </w:p>
    <w:p w:rsidR="00D135D8" w:rsidRDefault="001200DA">
      <w:pPr>
        <w:ind w:firstLine="709"/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Лицевые счета открываются в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финансовом отделе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участникам казначейского сопровождения, получающим целевые средства, в соответствии с порядком открытия и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ведения лицевых счетов участников в случаях, установленных решением Думы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 xml:space="preserve">городского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 xml:space="preserve"> ЗАТО Свободный о бюджете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D135D8" w:rsidRDefault="001200DA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4. Казначейское сопровождение осуществляется в отношении целевых средств, предоставляемых с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целью исполнения обязательств по заключенным с участниками казначейского сопровождения:</w:t>
      </w:r>
    </w:p>
    <w:p w:rsidR="00D135D8" w:rsidRDefault="001200DA">
      <w:pPr>
        <w:ind w:firstLine="709"/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lastRenderedPageBreak/>
        <w:t xml:space="preserve">1)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муниципальным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контрактам, контрактам (договорам) о поставке товаров, выполнении работ, оказании услуг, заключенным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муниципальными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казенными учреждениями городского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круга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ЗАТО Свободный, бюджетными и (или) автономными учреждениями городского округа ЗАТО Свободный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;</w:t>
      </w:r>
    </w:p>
    <w:p w:rsidR="00D135D8" w:rsidRDefault="001200DA">
      <w:pPr>
        <w:ind w:firstLine="709"/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2) договорам (соглашениям) о предоставлении субсидий, договорам о предоставлении бюджетных инвестиций в соответствии со статьей 80 Бюджетного кодекса (далее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-договор (соглашение)), договорам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и (далее-взно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с(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вклад));</w:t>
      </w:r>
    </w:p>
    <w:p w:rsidR="00D135D8" w:rsidRDefault="001200DA">
      <w:pPr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3) контрактам (договорам) о поставке товаров, выполнении работ, оказании услуг, источником финансового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обеспечения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исполнения которых являются средства, указанные в </w:t>
      </w:r>
      <w:hyperlink w:anchor="P62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подпунктах 1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и </w:t>
      </w:r>
      <w:hyperlink w:anchor="P63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2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настоящего пункта (далее - контракт (договор)).</w:t>
      </w:r>
    </w:p>
    <w:p w:rsidR="00D135D8" w:rsidRDefault="001200DA">
      <w:pPr>
        <w:ind w:firstLine="709"/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5. Операции по списанию целевых средств участников казначейского сопровождения, отраженных на лицевых счетах, проводятся после осуществления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финансовым отделом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санкционирования расходов в соответствии с пор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ядком санкционирования расходов участников казначейского сопровождения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финансовым отделом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в городском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округе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ЗАТО Свободный, устанавливаемым финансовым отделом (далее - порядок санкционирования целевых средств), и проверки представленных документов, устано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вленных порядком санкционирования целевых средств, подтверждающих возникновение денежных обязательств участников казначейского сопровождения (далее -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документы-основания).</w:t>
      </w:r>
      <w:proofErr w:type="gramEnd"/>
    </w:p>
    <w:p w:rsidR="00D135D8" w:rsidRDefault="001200DA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Санкционирование расходов при казначейском сопровождении целевых средств осуществляе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тся в соответствии со сведениями об операциях с целевыми средствами, представляемыми участниками казначейского сопровождения в финансовый отдел по форме, утвержденной порядком санкционирования целевых средств.</w:t>
      </w:r>
    </w:p>
    <w:p w:rsidR="00D135D8" w:rsidRDefault="001200DA">
      <w:pPr>
        <w:ind w:firstLine="709"/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6. В случаях и порядке, установленных Правител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ьством Российской Федерации,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финансовым отделом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осуществляется расширенное казначейское сопровождение целевых средств.</w:t>
      </w:r>
    </w:p>
    <w:p w:rsidR="00D135D8" w:rsidRDefault="001200DA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7. При казначейском сопровождении целевых средств в муниципальные контракты, договоры (соглашения), контракты (договоры) включаются следу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ющие условия:</w:t>
      </w:r>
    </w:p>
    <w:p w:rsidR="00D135D8" w:rsidRDefault="001200DA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1) запрет на перечисление целевых сре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дств в сл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учаях, указанных в пункте 8 настоящего порядка;</w:t>
      </w:r>
    </w:p>
    <w:p w:rsidR="00D135D8" w:rsidRDefault="001200DA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2) открытие участником казначейского сопровождения целевых средств лицевого счета в финансовом отделе в целях осуществления операций с целевыми сред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ствами в соответствии с настоящим порядком;</w:t>
      </w:r>
    </w:p>
    <w:p w:rsidR="00D135D8" w:rsidRDefault="001200DA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3) представление в финансовый отдел документов, установленных порядком санкционирования целевых средств;</w:t>
      </w:r>
    </w:p>
    <w:p w:rsidR="00D135D8" w:rsidRDefault="001200DA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4) указание в муниципальных контрактах, договорах (соглашениях), контрактах (договорах), распоряжениях о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совершении казначейских платежей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lastRenderedPageBreak/>
        <w:t>(далее - распоряжение) и расчетных документах (за исключением распоряжений и расчетных документов, представляемых в связи с исполнением муниципальных контрактов, договоров (соглашений), контрактов (договоров), содержащих св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государственная тайна)), а также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в документах-основаниях, реестре документов-основа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ний идентификатора муниципального контракта, договора (соглашения), контракта (договора) в соответствии с порядком формирования идентификатора муниципального контракта, договора (соглашения) при казначейском сопровождении средств, устанавливаемым Министерс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твом финансов Российской Федерации;</w:t>
      </w:r>
    </w:p>
    <w:p w:rsidR="00D135D8" w:rsidRDefault="001200DA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5) ведение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ской Федерации.</w:t>
      </w:r>
    </w:p>
    <w:p w:rsidR="00D135D8" w:rsidRDefault="001200DA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8. Устанавливается запрет на перечисление целевых сре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дств с л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ицевого счета:</w:t>
      </w:r>
    </w:p>
    <w:p w:rsidR="00D135D8" w:rsidRDefault="001200DA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1) в качестве взноса в уставный (складочный) капитал другого юридического лица (дочернего общества юридического лица), вклада в имущество другого юридического лица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(дочернего общества юридического лица), не увеличивающего его уставный (складочный) капитал, если нормативными правовыми актами, регулирующими порядок предоставления целевых средств, не предусмотрена возможность их перечисления указанному юридическому лицу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(дочернему обществу юридического лица) на счета, открытые им в учреждении Центрального банка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Российской Федерации или кредитной организации (далее - банк);</w:t>
      </w:r>
    </w:p>
    <w:p w:rsidR="00D135D8" w:rsidRDefault="001200DA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2) в целях размещения средств на депозитах, а также в иные финансовые инструменты, за исключением с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лучаев, установленных федеральными законами, нормативными правовыми актами Правительства Российской Федерации, законами Свердловской области или нормативными правовыми актами  городского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ЗАТО Свободный;</w:t>
      </w:r>
    </w:p>
    <w:p w:rsidR="00D135D8" w:rsidRDefault="001200DA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3) на счета, открытые в банке участнику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казначейского сопровождения целевых средств, за исключением:</w:t>
      </w:r>
    </w:p>
    <w:p w:rsidR="00D135D8" w:rsidRDefault="001200DA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оплаты обязательств участника казначейского сопровождения целевых сре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дств в с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оответствии с валютным законодательством Российской Федерации;</w:t>
      </w:r>
    </w:p>
    <w:p w:rsidR="00D135D8" w:rsidRDefault="001200DA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оплаты обязательств участника казначейского сопровожден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ия целевых средств по оплате труда с учетом начислений и социальных выплат, иных выплат в пользу работников, а также выплат лицам, не состоящим в штате юридического лица, привлеченным для достижения цели, определенной при предоставлении средств;</w:t>
      </w:r>
    </w:p>
    <w:p w:rsidR="00D135D8" w:rsidRDefault="001200DA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bookmarkStart w:id="1" w:name="P82"/>
      <w:bookmarkEnd w:id="1"/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оплаты фак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тически поставленных товаров (выполненных работ, оказанных услуг), источником финансового обеспечения которых являются целевые средства, в случае если участник казначейского сопровождения не привлекает для поставки товаров, выполнения работ, оказания услуг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иных юридических лиц, а также при условии представления документов-оснований и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lastRenderedPageBreak/>
        <w:t>(или) иных документов, предусмотренных муниципальными контрактами, договорами (соглашениями), контрактами (договорами) или нормативными правовыми актами (правовыми актами), рег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улирующими порядок предоставления целевых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средств;</w:t>
      </w:r>
    </w:p>
    <w:p w:rsidR="00D135D8" w:rsidRDefault="001200DA">
      <w:pPr>
        <w:pStyle w:val="ConsPlusNormal"/>
        <w:ind w:firstLine="709"/>
        <w:jc w:val="both"/>
      </w:pP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возмещения произведенных участником казначейского сопровождения целевых средств расходов (части расходов) при условии представления документов в соответствии с </w:t>
      </w:r>
      <w:hyperlink w:anchor="P82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абзацем четвертым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н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астоящего подпункта, а также копий платежных поручений, реестров платежных поручений и иных документов, подтверждающих оплату произведенных участником казначейского сопровождения целевых средств расходов (части расходов), а также муниципальных контрактов,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договоров (соглашений), контрактов (договоров) или нормативных правовых актов (правовых актов), регулирующих порядок предоставления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целевых средств, если условиями муниципального контракта, договора (соглашения), контракта (договора) предусмотрено возмещен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ие произведенных участником казначейского сопровождения целевых средств расходов (части расходов);</w:t>
      </w:r>
    </w:p>
    <w:p w:rsidR="00D135D8" w:rsidRDefault="001200DA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4) на счета, открытые в банках юридическим лицам, заключившим с участником казначейского сопровождения целевых средств договоры (соглашения), контракты (дого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воры), за исключением договоров (соглашений),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ничных услуг, услуг по организации и осуществлению перевозки грузов и пассажиров железнодорожным транспортом общего пользования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,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авиационных и железнодорожных билетов, билетов для проезда городским и пригородным транспортом, подписки на периодические издан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ия, в целях аренды, осуществления работ по переносу (переустройству, присоединению) принадлежащих участникам казначейского сопровождения целевых средств инженерных сетей, коммуникаций, сооружений, а также проведения государственной экспертизы проектной док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законодательством Российской Федерации, приобретения услуг по прием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у платежей от физических лиц, осуществляемых платежными агентами.</w:t>
      </w:r>
    </w:p>
    <w:p w:rsidR="00D135D8" w:rsidRDefault="001200DA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 или контрактов (договоров), содержащих сведения, составляющие гос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ударственную тайну, осуществляется с соблюдением требований, установленных законодательством Российской Федерации о государственной тайне.</w:t>
      </w:r>
    </w:p>
    <w:p w:rsidR="00D135D8" w:rsidRDefault="001200DA">
      <w:pPr>
        <w:pStyle w:val="ConsPlusNormal"/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10. Финансовый отдел ежедневно (в рабочие дни) предоставляет информацию о муниципальных контрактах, договорах (соглаш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lastRenderedPageBreak/>
        <w:t xml:space="preserve">аналитического обеспечения государственной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интегрированной информационной системы управления общественными финансами «Электронный бюджет».</w:t>
      </w:r>
    </w:p>
    <w:p w:rsidR="00D135D8" w:rsidRDefault="001200DA">
      <w:pPr>
        <w:pStyle w:val="ConsPlusNormal"/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11.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В случае если федеральными законами или решениями Правительства Российской Федерации, предусмотренными </w:t>
      </w:r>
      <w:hyperlink r:id="rId15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подпунктом 2 пункта 1 статьи 242.26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Бюджетного кодекса, установлены требования о казначейском сопровождении целевых средств, предоставляемых на осн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овании концессионных соглашений и соглашений о государственно-частном партнерстве (далее - соглашения с привлечением внебюджетных источников), финансовым отделом осуществляется казначейское сопровождение указанных целевых средств и устанавливается требован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ие о распространении положений настоящего порядка на договоры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(соглашения), заключаемые в рамках соглашений с привлечением внебюджетных источников.</w:t>
      </w:r>
    </w:p>
    <w:p w:rsidR="00D135D8" w:rsidRDefault="001200DA">
      <w:pPr>
        <w:pStyle w:val="ConsPlusNormal"/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12. Бюджетный мониторинг при открытии лицевых счетов и осуществлении операций на лицевых счетах проводится т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ерриториальным органом Федерального казначейства в порядке, установленном Правительством Российской Федерации в соответствии со </w:t>
      </w:r>
      <w:hyperlink r:id="rId16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статьей 242.13-1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Бюджетного кодекса.</w:t>
      </w: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D135D8" w:rsidRDefault="00D135D8">
      <w:pPr>
        <w:jc w:val="both"/>
        <w:rPr>
          <w:rFonts w:ascii="Liberation Serif;Times New Roma" w:hAnsi="Liberation Serif;Times New Roma" w:cs="Liberation Serif;Times New Roma"/>
          <w:sz w:val="21"/>
          <w:szCs w:val="21"/>
        </w:rPr>
      </w:pPr>
    </w:p>
    <w:p w:rsidR="00D135D8" w:rsidRDefault="00D135D8">
      <w:pPr>
        <w:jc w:val="both"/>
        <w:rPr>
          <w:rFonts w:ascii="Liberation Serif;Times New Roma" w:hAnsi="Liberation Serif;Times New Roma" w:cs="Liberation Serif;Times New Roma"/>
          <w:sz w:val="21"/>
          <w:szCs w:val="21"/>
        </w:rPr>
      </w:pPr>
    </w:p>
    <w:p w:rsidR="00D135D8" w:rsidRDefault="001200DA">
      <w:pPr>
        <w:jc w:val="both"/>
      </w:pPr>
      <w:hyperlink w:anchor="Par2"/>
    </w:p>
    <w:p w:rsidR="00D135D8" w:rsidRDefault="00D135D8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sectPr w:rsidR="00D135D8">
      <w:headerReference w:type="default" r:id="rId17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DA" w:rsidRDefault="001200DA">
      <w:r>
        <w:separator/>
      </w:r>
    </w:p>
  </w:endnote>
  <w:endnote w:type="continuationSeparator" w:id="0">
    <w:p w:rsidR="001200DA" w:rsidRDefault="0012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DA" w:rsidRDefault="001200DA">
      <w:r>
        <w:separator/>
      </w:r>
    </w:p>
  </w:footnote>
  <w:footnote w:type="continuationSeparator" w:id="0">
    <w:p w:rsidR="001200DA" w:rsidRDefault="0012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D8" w:rsidRDefault="001200DA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0D4DF9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3185"/>
    <w:multiLevelType w:val="multilevel"/>
    <w:tmpl w:val="DA36FBF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4FBA45EE"/>
    <w:multiLevelType w:val="multilevel"/>
    <w:tmpl w:val="EB0E15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D8"/>
    <w:rsid w:val="000A6D9E"/>
    <w:rsid w:val="000D4DF9"/>
    <w:rsid w:val="001200DA"/>
    <w:rsid w:val="00435EF4"/>
    <w:rsid w:val="00763492"/>
    <w:rsid w:val="00983E9A"/>
    <w:rsid w:val="00D135D8"/>
    <w:rsid w:val="00D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rsid w:val="0042449E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table" w:styleId="af2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rsid w:val="0042449E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table" w:styleId="af2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325339AA15E26CD27A98EC167BC92B6D3D3C1D7807B3466F98C3B5BA17C672988B03F2D63637B8B59545743EC310AD15FF82961436S2m7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026E9684E286A9CAEEAC042F515319332E964FE4D5AE0EEADED69F5699B36B854F2204CCC022871A2857DB3DB7CF465987BD7A88F50C47D5D7FE8ErC38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D6EC25A67641CA0ED4781139ED262B5F25B11F4D20CEA20F4F9362474192E631AD860F41E4D5589C06E22F39FB5F149F8FAF321C2CY6F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026E9684E286A9CAEEB209393D0D133625CA44E4D2A45AB582D0C809C9B53EC50F24518F842F871B23038B78E996171FCCB07994E90C46rC39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D6EC25A67641CA0ED4781139ED262B5F25B11F4D20CEA20F4F9362474192E631AD860F40E4D4589C06E22F39FB5F149F8FAF321C2CY6F4J" TargetMode="External"/><Relationship Id="rId10" Type="http://schemas.openxmlformats.org/officeDocument/2006/relationships/hyperlink" Target="consultantplus://offline/ref=E3026E9684E286A9CAEEB209393D0D133122CF42E5D1A45AB582D0C809C9B53EC50F24568684278D4E79138F31BC99091DD1AE788AE9r03E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2325339AA15E26CD27A98EC167BC92B6D3D3C1D7807B3466F98C3B5BA17C672988B03F2D6303BB8B59545743EC310AD15FF82961436S2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D0034-4A63-41CA-967F-BEAD8891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3802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Pronina</cp:lastModifiedBy>
  <cp:revision>130</cp:revision>
  <cp:lastPrinted>2022-02-02T11:06:00Z</cp:lastPrinted>
  <dcterms:created xsi:type="dcterms:W3CDTF">2020-02-27T08:48:00Z</dcterms:created>
  <dcterms:modified xsi:type="dcterms:W3CDTF">2022-03-10T05:13:00Z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